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FE" w:rsidRPr="008C0DFE" w:rsidRDefault="008C0DFE" w:rsidP="008C0DFE">
      <w:pPr>
        <w:widowControl/>
        <w:shd w:val="clear" w:color="auto" w:fill="FFFFFF"/>
        <w:spacing w:before="180" w:after="375"/>
        <w:contextualSpacing/>
        <w:jc w:val="left"/>
        <w:outlineLvl w:val="1"/>
        <w:rPr>
          <w:rFonts w:asciiTheme="majorEastAsia" w:eastAsiaTheme="majorEastAsia" w:hAnsiTheme="majorEastAsia" w:cs="宋体"/>
          <w:b/>
          <w:bCs/>
          <w:color w:val="000000"/>
          <w:kern w:val="0"/>
          <w:sz w:val="28"/>
          <w:szCs w:val="28"/>
        </w:rPr>
      </w:pPr>
      <w:r w:rsidRPr="008C0DFE">
        <w:rPr>
          <w:rFonts w:asciiTheme="majorEastAsia" w:eastAsiaTheme="majorEastAsia" w:hAnsiTheme="majorEastAsia" w:cs="宋体"/>
          <w:b/>
          <w:bCs/>
          <w:color w:val="000000"/>
          <w:kern w:val="0"/>
          <w:sz w:val="28"/>
          <w:szCs w:val="28"/>
        </w:rPr>
        <w:t>政府会计制度：哪些不属于纳入部门预算管理的现金收支？</w:t>
      </w:r>
    </w:p>
    <w:p w:rsidR="008C0DFE" w:rsidRDefault="008C0DFE" w:rsidP="008C0DFE">
      <w:pPr>
        <w:pStyle w:val="a3"/>
        <w:shd w:val="clear" w:color="auto" w:fill="FFFFFF"/>
        <w:contextualSpacing/>
        <w:rPr>
          <w:rFonts w:asciiTheme="minorEastAsia" w:eastAsiaTheme="minorEastAsia" w:hAnsiTheme="minorEastAsia"/>
          <w:color w:val="2F2F2F"/>
        </w:rPr>
      </w:pPr>
      <w:r w:rsidRPr="008C0DFE">
        <w:rPr>
          <w:rFonts w:asciiTheme="minorEastAsia" w:eastAsiaTheme="minorEastAsia" w:hAnsiTheme="minorEastAsia"/>
          <w:color w:val="2F2F2F"/>
        </w:rPr>
        <w:t>单位对于</w:t>
      </w:r>
      <w:r w:rsidRPr="008C0DFE">
        <w:rPr>
          <w:rStyle w:val="a4"/>
          <w:rFonts w:asciiTheme="minorEastAsia" w:eastAsiaTheme="minorEastAsia" w:hAnsiTheme="minorEastAsia"/>
          <w:color w:val="2F2F2F"/>
        </w:rPr>
        <w:t>纳入部门预算管理的现金收支业务</w:t>
      </w:r>
      <w:r w:rsidRPr="008C0DFE">
        <w:rPr>
          <w:rFonts w:asciiTheme="minorEastAsia" w:eastAsiaTheme="minorEastAsia" w:hAnsiTheme="minorEastAsia"/>
          <w:color w:val="2F2F2F"/>
        </w:rPr>
        <w:t>，在</w:t>
      </w:r>
      <w:r w:rsidRPr="008C0DFE">
        <w:rPr>
          <w:rStyle w:val="a4"/>
          <w:rFonts w:asciiTheme="minorEastAsia" w:eastAsiaTheme="minorEastAsia" w:hAnsiTheme="minorEastAsia"/>
          <w:color w:val="2F2F2F"/>
        </w:rPr>
        <w:t>采用财务会计核算的同时应当进行预算会计核算</w:t>
      </w:r>
      <w:r w:rsidRPr="008C0DFE">
        <w:rPr>
          <w:rFonts w:asciiTheme="minorEastAsia" w:eastAsiaTheme="minorEastAsia" w:hAnsiTheme="minorEastAsia"/>
          <w:color w:val="2F2F2F"/>
        </w:rPr>
        <w:t>；对于其他业务，仅需进行财务会计核算。</w:t>
      </w:r>
    </w:p>
    <w:p w:rsidR="008C0DFE" w:rsidRPr="008C0DFE" w:rsidRDefault="008C0DFE" w:rsidP="008C0DFE">
      <w:pPr>
        <w:pStyle w:val="a3"/>
        <w:shd w:val="clear" w:color="auto" w:fill="FFFFFF"/>
        <w:contextualSpacing/>
        <w:rPr>
          <w:rFonts w:asciiTheme="minorEastAsia" w:eastAsiaTheme="minorEastAsia" w:hAnsiTheme="minorEastAsia"/>
          <w:color w:val="2F2F2F"/>
        </w:rPr>
      </w:pPr>
      <w:r w:rsidRPr="008C0DFE">
        <w:rPr>
          <w:rFonts w:asciiTheme="minorEastAsia" w:eastAsiaTheme="minorEastAsia" w:hAnsiTheme="minorEastAsia"/>
          <w:color w:val="2F2F2F"/>
        </w:rPr>
        <w:t>纳入预算管理的现金收支业务，同时满足两个条件：</w:t>
      </w:r>
      <w:r w:rsidRPr="008C0DFE">
        <w:rPr>
          <w:rStyle w:val="a4"/>
          <w:rFonts w:asciiTheme="minorEastAsia" w:eastAsiaTheme="minorEastAsia" w:hAnsiTheme="minorEastAsia"/>
          <w:color w:val="2F2F2F"/>
        </w:rPr>
        <w:t>一是纳入预算管理，二是现金收支，</w:t>
      </w:r>
      <w:r w:rsidRPr="008C0DFE">
        <w:rPr>
          <w:rFonts w:asciiTheme="minorEastAsia" w:eastAsiaTheme="minorEastAsia" w:hAnsiTheme="minorEastAsia"/>
          <w:color w:val="2F2F2F"/>
        </w:rPr>
        <w:t>需要同时进行财务会计和预算会计的平行记账，所以我们首先要确定哪些是纳入预算管理的现金，它不仅仅是指财政拨款资金，还有其他纳入部门预算管理的收入。在核算预算收支时，必然会引起预算科目结余的调整和变化。</w:t>
      </w:r>
    </w:p>
    <w:p w:rsidR="008C0DFE" w:rsidRPr="008C0DFE" w:rsidRDefault="008C0DFE" w:rsidP="008C0DFE">
      <w:pPr>
        <w:pStyle w:val="a3"/>
        <w:shd w:val="clear" w:color="auto" w:fill="FFFFFF"/>
        <w:contextualSpacing/>
        <w:rPr>
          <w:rFonts w:asciiTheme="minorEastAsia" w:eastAsiaTheme="minorEastAsia" w:hAnsiTheme="minorEastAsia"/>
          <w:color w:val="2F2F2F"/>
        </w:rPr>
      </w:pPr>
      <w:r w:rsidRPr="008C0DFE">
        <w:rPr>
          <w:rFonts w:asciiTheme="minorEastAsia" w:eastAsiaTheme="minorEastAsia" w:hAnsiTheme="minorEastAsia"/>
          <w:color w:val="2F2F2F"/>
        </w:rPr>
        <w:t>这儿的现金是广义的概念，而不是狭义认知的出纳保管的'库存现金'，它包括货币资金和现金等价物，在政府会计制度中指库存现金、银行存款、其他货币资金、零余额账户用款额度、财政应返还额度。它对应预算会计的'资金结存'科目，凡涉及此科目的收支核算业务，应进行平行记账。</w:t>
      </w:r>
    </w:p>
    <w:p w:rsidR="008C0DFE" w:rsidRPr="008C0DFE" w:rsidRDefault="008C0DFE" w:rsidP="008C0DFE">
      <w:pPr>
        <w:pStyle w:val="a3"/>
        <w:shd w:val="clear" w:color="auto" w:fill="FFFFFF"/>
        <w:contextualSpacing/>
        <w:rPr>
          <w:rFonts w:asciiTheme="minorEastAsia" w:eastAsiaTheme="minorEastAsia" w:hAnsiTheme="minorEastAsia"/>
          <w:color w:val="2F2F2F"/>
        </w:rPr>
      </w:pPr>
      <w:r w:rsidRPr="008C0DFE">
        <w:rPr>
          <w:rFonts w:asciiTheme="minorEastAsia" w:eastAsiaTheme="minorEastAsia" w:hAnsiTheme="minorEastAsia"/>
          <w:color w:val="2F2F2F"/>
        </w:rPr>
        <w:t>按照综合预算管理原则，财政拨款收入、事业收入、事业单位经营收入、附属单位上缴收入、上年结转资金、非本级财政拨款收入、其他收入等全部需要纳入部门预算。2011年起，以前游离在预算框架外的预算外收入也纳入预算管理，收入全额上缴国库，支出通过公共财政预算或政府性基金预算安排。</w:t>
      </w:r>
    </w:p>
    <w:p w:rsidR="008C0DFE" w:rsidRPr="008C0DFE" w:rsidRDefault="008C0DFE" w:rsidP="008C0DFE">
      <w:pPr>
        <w:pStyle w:val="a3"/>
        <w:shd w:val="clear" w:color="auto" w:fill="FFFFFF"/>
        <w:contextualSpacing/>
        <w:rPr>
          <w:rFonts w:asciiTheme="minorEastAsia" w:eastAsiaTheme="minorEastAsia" w:hAnsiTheme="minorEastAsia"/>
          <w:color w:val="2F2F2F"/>
        </w:rPr>
      </w:pPr>
      <w:r w:rsidRPr="008C0DFE">
        <w:rPr>
          <w:rFonts w:asciiTheme="minorEastAsia" w:eastAsiaTheme="minorEastAsia" w:hAnsiTheme="minorEastAsia"/>
          <w:color w:val="2F2F2F"/>
        </w:rPr>
        <w:t>这就足以说明，预算没有死角，政府的所有收入和支出必须纳入部门预算管理。</w:t>
      </w:r>
    </w:p>
    <w:p w:rsidR="008C0DFE" w:rsidRPr="008C0DFE" w:rsidRDefault="008C0DFE" w:rsidP="008C0DFE">
      <w:pPr>
        <w:pStyle w:val="a3"/>
        <w:shd w:val="clear" w:color="auto" w:fill="FFFFFF"/>
        <w:contextualSpacing/>
        <w:rPr>
          <w:rFonts w:asciiTheme="minorEastAsia" w:eastAsiaTheme="minorEastAsia" w:hAnsiTheme="minorEastAsia"/>
          <w:color w:val="2F2F2F"/>
        </w:rPr>
      </w:pPr>
      <w:r w:rsidRPr="008C0DFE">
        <w:rPr>
          <w:rFonts w:asciiTheme="minorEastAsia" w:eastAsiaTheme="minorEastAsia" w:hAnsiTheme="minorEastAsia"/>
          <w:color w:val="2F2F2F"/>
        </w:rPr>
        <w:t>但是不是单位所有的现金收支业务都必须平行记账呢？</w:t>
      </w:r>
    </w:p>
    <w:p w:rsidR="008C0DFE" w:rsidRPr="008C0DFE" w:rsidRDefault="008C0DFE" w:rsidP="008C0DFE">
      <w:pPr>
        <w:pStyle w:val="a3"/>
        <w:shd w:val="clear" w:color="auto" w:fill="FFFFFF"/>
        <w:contextualSpacing/>
        <w:rPr>
          <w:rFonts w:asciiTheme="minorEastAsia" w:eastAsiaTheme="minorEastAsia" w:hAnsiTheme="minorEastAsia"/>
          <w:color w:val="2F2F2F"/>
        </w:rPr>
      </w:pPr>
      <w:r w:rsidRPr="008C0DFE">
        <w:rPr>
          <w:rFonts w:asciiTheme="minorEastAsia" w:eastAsiaTheme="minorEastAsia" w:hAnsiTheme="minorEastAsia"/>
          <w:color w:val="2F2F2F"/>
        </w:rPr>
        <w:t>未必！！！比如涉及暂收暂付的现金收支、受托代理资产的现金收支、应缴入财政的款项收支等，这些都不符合收入和支出的定义，预算资金是没有偿还义务的，而上述往来性的款项是过路钱，具有债权债务性质。</w:t>
      </w:r>
    </w:p>
    <w:p w:rsidR="008C0DFE" w:rsidRPr="008C0DFE" w:rsidRDefault="008C0DFE" w:rsidP="008C0DFE">
      <w:pPr>
        <w:pStyle w:val="a3"/>
        <w:shd w:val="clear" w:color="auto" w:fill="FFFFFF"/>
        <w:contextualSpacing/>
        <w:rPr>
          <w:rFonts w:asciiTheme="minorEastAsia" w:eastAsiaTheme="minorEastAsia" w:hAnsiTheme="minorEastAsia"/>
          <w:color w:val="2F2F2F"/>
        </w:rPr>
      </w:pPr>
      <w:r w:rsidRPr="008C0DFE">
        <w:rPr>
          <w:rFonts w:asciiTheme="minorEastAsia" w:eastAsiaTheme="minorEastAsia" w:hAnsiTheme="minorEastAsia"/>
          <w:color w:val="2F2F2F"/>
        </w:rPr>
        <w:t>财务会计和预算会计的核算基础不同，财务会计是实行权责发生制，预算会计是实行收付实现制，两者收入和支出的确认时点不同，所以它们之间是会产生差异的，即在财务会计核算时是按照权责发生制为基础确认收支时点，预算会计是根据实际收付款时间来确认收支。</w:t>
      </w:r>
    </w:p>
    <w:p w:rsidR="008C0DFE" w:rsidRPr="008C0DFE" w:rsidRDefault="008C0DFE" w:rsidP="008C0DFE">
      <w:pPr>
        <w:pStyle w:val="a3"/>
        <w:shd w:val="clear" w:color="auto" w:fill="FFFFFF"/>
        <w:contextualSpacing/>
        <w:rPr>
          <w:rFonts w:asciiTheme="minorEastAsia" w:eastAsiaTheme="minorEastAsia" w:hAnsiTheme="minorEastAsia"/>
          <w:color w:val="2F2F2F"/>
        </w:rPr>
      </w:pPr>
      <w:r w:rsidRPr="008C0DFE">
        <w:rPr>
          <w:rFonts w:asciiTheme="minorEastAsia" w:eastAsiaTheme="minorEastAsia" w:hAnsiTheme="minorEastAsia"/>
          <w:color w:val="2F2F2F"/>
        </w:rPr>
        <w:t>权责发生制主要考虑收支匹配的期间和权利义务，凡属于本期间的收入和支出，无论是否发生了现金流入和流出，都要进行收支的确认。权和责指你有确凿证据表明有取得收入的权利和履行付款义务的责任，权责发生制有利于客观准确反映会计期间的财务状况和经营业绩，但也有弊端，可能财务报表比较好看，但往往容易忽略现金流，一个单位可能账面上盈利，但没有现金流也会速死的。它主要以应收、应付、预提、待摊等项目来记录权责情况，比如折旧、摊销等。</w:t>
      </w:r>
    </w:p>
    <w:p w:rsidR="008C0DFE" w:rsidRPr="008C0DFE" w:rsidRDefault="008C0DFE" w:rsidP="008C0DFE">
      <w:pPr>
        <w:pStyle w:val="a3"/>
        <w:shd w:val="clear" w:color="auto" w:fill="FFFFFF"/>
        <w:contextualSpacing/>
        <w:rPr>
          <w:rFonts w:asciiTheme="minorEastAsia" w:eastAsiaTheme="minorEastAsia" w:hAnsiTheme="minorEastAsia"/>
          <w:color w:val="2F2F2F"/>
        </w:rPr>
      </w:pPr>
      <w:r w:rsidRPr="008C0DFE">
        <w:rPr>
          <w:rFonts w:asciiTheme="minorEastAsia" w:eastAsiaTheme="minorEastAsia" w:hAnsiTheme="minorEastAsia"/>
          <w:color w:val="2F2F2F"/>
        </w:rPr>
        <w:t>而收付实现制是以现金的流入流出作为确认收入和支出的记账依据，以收钱付钱为记账时点。</w:t>
      </w:r>
    </w:p>
    <w:p w:rsidR="008C0DFE" w:rsidRPr="008C0DFE" w:rsidRDefault="008C0DFE" w:rsidP="008C0DFE">
      <w:pPr>
        <w:pStyle w:val="a3"/>
        <w:shd w:val="clear" w:color="auto" w:fill="FFFFFF"/>
        <w:contextualSpacing/>
        <w:rPr>
          <w:rFonts w:asciiTheme="minorEastAsia" w:eastAsiaTheme="minorEastAsia" w:hAnsiTheme="minorEastAsia"/>
          <w:color w:val="2F2F2F"/>
        </w:rPr>
      </w:pPr>
      <w:r w:rsidRPr="008C0DFE">
        <w:rPr>
          <w:rStyle w:val="a4"/>
          <w:rFonts w:asciiTheme="minorEastAsia" w:eastAsiaTheme="minorEastAsia" w:hAnsiTheme="minorEastAsia"/>
          <w:color w:val="2F2F2F"/>
        </w:rPr>
        <w:t>1、受托代理资产、受托代理负债：</w:t>
      </w:r>
      <w:r w:rsidRPr="008C0DFE">
        <w:rPr>
          <w:rFonts w:asciiTheme="minorEastAsia" w:eastAsiaTheme="minorEastAsia" w:hAnsiTheme="minorEastAsia"/>
          <w:color w:val="2F2F2F"/>
        </w:rPr>
        <w:t>单位收到货币资金形式的受托代理资产，其所有权、控制权仍归属原单位，不属于单位的预算收入，因此不纳入单位预算收入核算。</w:t>
      </w:r>
    </w:p>
    <w:p w:rsidR="008C0DFE" w:rsidRPr="008C0DFE" w:rsidRDefault="008C0DFE" w:rsidP="008C0DFE">
      <w:pPr>
        <w:pStyle w:val="a3"/>
        <w:shd w:val="clear" w:color="auto" w:fill="FFFFFF"/>
        <w:contextualSpacing/>
        <w:rPr>
          <w:rFonts w:asciiTheme="minorEastAsia" w:eastAsiaTheme="minorEastAsia" w:hAnsiTheme="minorEastAsia"/>
          <w:color w:val="2F2F2F"/>
        </w:rPr>
      </w:pPr>
      <w:r w:rsidRPr="008C0DFE">
        <w:rPr>
          <w:rStyle w:val="a4"/>
          <w:rFonts w:asciiTheme="minorEastAsia" w:eastAsiaTheme="minorEastAsia" w:hAnsiTheme="minorEastAsia"/>
          <w:color w:val="2F2F2F"/>
        </w:rPr>
        <w:t>2、应缴财政款：</w:t>
      </w:r>
      <w:r w:rsidRPr="008C0DFE">
        <w:rPr>
          <w:rFonts w:asciiTheme="minorEastAsia" w:eastAsiaTheme="minorEastAsia" w:hAnsiTheme="minorEastAsia"/>
          <w:color w:val="2F2F2F"/>
        </w:rPr>
        <w:t>收到资金时就明确了它不属于单位的预算收入，应缴入财政，所以它进来和出去都不需要平行记账，比如代收的规费收入、罚没收入、利息收入、租金收入、资产处置收入等。</w:t>
      </w:r>
    </w:p>
    <w:p w:rsidR="00F30716" w:rsidRDefault="008C0DFE" w:rsidP="008C0DFE">
      <w:pPr>
        <w:pStyle w:val="a3"/>
        <w:shd w:val="clear" w:color="auto" w:fill="FFFFFF"/>
        <w:contextualSpacing/>
        <w:rPr>
          <w:rFonts w:asciiTheme="minorEastAsia" w:eastAsiaTheme="minorEastAsia" w:hAnsiTheme="minorEastAsia"/>
          <w:color w:val="2F2F2F"/>
        </w:rPr>
      </w:pPr>
      <w:r w:rsidRPr="008C0DFE">
        <w:rPr>
          <w:rStyle w:val="a4"/>
          <w:rFonts w:asciiTheme="minorEastAsia" w:eastAsiaTheme="minorEastAsia" w:hAnsiTheme="minorEastAsia"/>
          <w:color w:val="2F2F2F"/>
        </w:rPr>
        <w:t>3、同级财政部门预拨的下期预算款和没有纳入预算的暂付款项：</w:t>
      </w:r>
      <w:r w:rsidRPr="008C0DFE">
        <w:rPr>
          <w:rFonts w:asciiTheme="minorEastAsia" w:eastAsiaTheme="minorEastAsia" w:hAnsiTheme="minorEastAsia"/>
          <w:color w:val="2F2F2F"/>
        </w:rPr>
        <w:t>它没有纳入本年度部门预算，只是预付性质，只有等到次年预算纳入时才确认收入。</w:t>
      </w:r>
    </w:p>
    <w:p w:rsidR="00F30716" w:rsidRDefault="008C0DFE" w:rsidP="008C0DFE">
      <w:pPr>
        <w:pStyle w:val="a3"/>
        <w:shd w:val="clear" w:color="auto" w:fill="FFFFFF"/>
        <w:contextualSpacing/>
        <w:rPr>
          <w:rFonts w:asciiTheme="minorEastAsia" w:eastAsiaTheme="minorEastAsia" w:hAnsiTheme="minorEastAsia"/>
          <w:color w:val="2F2F2F"/>
        </w:rPr>
      </w:pPr>
      <w:r w:rsidRPr="008C0DFE">
        <w:rPr>
          <w:rStyle w:val="a4"/>
          <w:rFonts w:asciiTheme="minorEastAsia" w:eastAsiaTheme="minorEastAsia" w:hAnsiTheme="minorEastAsia"/>
          <w:color w:val="2F2F2F"/>
        </w:rPr>
        <w:lastRenderedPageBreak/>
        <w:t>4、通过本单位转拨给下属单位的财政拨款：</w:t>
      </w:r>
      <w:r w:rsidRPr="008C0DFE">
        <w:rPr>
          <w:rFonts w:asciiTheme="minorEastAsia" w:eastAsiaTheme="minorEastAsia" w:hAnsiTheme="minorEastAsia"/>
          <w:color w:val="2F2F2F"/>
        </w:rPr>
        <w:t>它不属于本单位的财政拨款，没有纳入部门预算，只是中转性质，我们通过其他应付款核算，不需要做预算会计核算。</w:t>
      </w:r>
    </w:p>
    <w:p w:rsidR="008C0DFE" w:rsidRPr="008C0DFE" w:rsidRDefault="008C0DFE" w:rsidP="008C0DFE">
      <w:pPr>
        <w:pStyle w:val="a3"/>
        <w:shd w:val="clear" w:color="auto" w:fill="FFFFFF"/>
        <w:contextualSpacing/>
        <w:rPr>
          <w:rFonts w:asciiTheme="minorEastAsia" w:eastAsiaTheme="minorEastAsia" w:hAnsiTheme="minorEastAsia"/>
          <w:color w:val="2F2F2F"/>
        </w:rPr>
      </w:pPr>
      <w:r w:rsidRPr="008C0DFE">
        <w:rPr>
          <w:rStyle w:val="a4"/>
          <w:rFonts w:asciiTheme="minorEastAsia" w:eastAsiaTheme="minorEastAsia" w:hAnsiTheme="minorEastAsia"/>
          <w:color w:val="2F2F2F"/>
        </w:rPr>
        <w:t>5、暂收款：</w:t>
      </w:r>
      <w:r w:rsidRPr="008C0DFE">
        <w:rPr>
          <w:rFonts w:asciiTheme="minorEastAsia" w:eastAsiaTheme="minorEastAsia" w:hAnsiTheme="minorEastAsia"/>
          <w:color w:val="2F2F2F"/>
        </w:rPr>
        <w:t>如收取的押金、保证金、代收的水电费等，虽然发生了现金流入流出，但它们不纳入预算管理，有偿还义务，属于往来债务性质，我们只做财务会计核算，不做预算会计核算。</w:t>
      </w:r>
    </w:p>
    <w:p w:rsidR="00F30716" w:rsidRDefault="008C0DFE" w:rsidP="008C0DFE">
      <w:pPr>
        <w:pStyle w:val="a3"/>
        <w:shd w:val="clear" w:color="auto" w:fill="FFFFFF"/>
        <w:contextualSpacing/>
        <w:rPr>
          <w:rFonts w:asciiTheme="minorEastAsia" w:eastAsiaTheme="minorEastAsia" w:hAnsiTheme="minorEastAsia"/>
          <w:color w:val="2F2F2F"/>
        </w:rPr>
      </w:pPr>
      <w:r w:rsidRPr="008C0DFE">
        <w:rPr>
          <w:rStyle w:val="a4"/>
          <w:rFonts w:asciiTheme="minorEastAsia" w:eastAsiaTheme="minorEastAsia" w:hAnsiTheme="minorEastAsia"/>
          <w:color w:val="2F2F2F"/>
        </w:rPr>
        <w:t>6、暂付款：</w:t>
      </w:r>
      <w:r w:rsidRPr="008C0DFE">
        <w:rPr>
          <w:rFonts w:asciiTheme="minorEastAsia" w:eastAsiaTheme="minorEastAsia" w:hAnsiTheme="minorEastAsia"/>
          <w:color w:val="2F2F2F"/>
        </w:rPr>
        <w:t>如备用金、职工借款、预借差旅费、垫付单位或职工的款项、支付的订金、保证金和押金等，我们只是暂时付出，有收回的权利，它们也不纳入预算管理，因此发生现金流入流出时，我们也只做财务会计核算，不做预算会计核算。其中暂付个人的款项，我们在借出时只做财务会计核算，但在报销冲抵时应就报销部分金额同时做预算会计核算。</w:t>
      </w:r>
    </w:p>
    <w:p w:rsidR="008C0DFE" w:rsidRPr="008C0DFE" w:rsidRDefault="008C0DFE" w:rsidP="008C0DFE">
      <w:pPr>
        <w:pStyle w:val="a3"/>
        <w:shd w:val="clear" w:color="auto" w:fill="FFFFFF"/>
        <w:contextualSpacing/>
        <w:rPr>
          <w:rFonts w:asciiTheme="minorEastAsia" w:eastAsiaTheme="minorEastAsia" w:hAnsiTheme="minorEastAsia"/>
          <w:color w:val="2F2F2F"/>
        </w:rPr>
      </w:pPr>
      <w:r w:rsidRPr="008C0DFE">
        <w:rPr>
          <w:rStyle w:val="a4"/>
          <w:rFonts w:asciiTheme="minorEastAsia" w:eastAsiaTheme="minorEastAsia" w:hAnsiTheme="minorEastAsia"/>
          <w:color w:val="2F2F2F"/>
        </w:rPr>
        <w:t>7、提现、存现业务：</w:t>
      </w:r>
      <w:r w:rsidRPr="008C0DFE">
        <w:rPr>
          <w:rFonts w:asciiTheme="minorEastAsia" w:eastAsiaTheme="minorEastAsia" w:hAnsiTheme="minorEastAsia"/>
          <w:color w:val="2F2F2F"/>
        </w:rPr>
        <w:t>它们只是货币资金形式的转换，此消彼长，只需要做财务会计核算。</w:t>
      </w:r>
    </w:p>
    <w:p w:rsidR="008C0DFE" w:rsidRPr="008C0DFE" w:rsidRDefault="008C0DFE" w:rsidP="008C0DFE">
      <w:pPr>
        <w:pStyle w:val="a3"/>
        <w:shd w:val="clear" w:color="auto" w:fill="FFFFFF"/>
        <w:contextualSpacing/>
        <w:rPr>
          <w:rFonts w:asciiTheme="minorEastAsia" w:eastAsiaTheme="minorEastAsia" w:hAnsiTheme="minorEastAsia"/>
          <w:color w:val="2F2F2F"/>
        </w:rPr>
      </w:pPr>
      <w:r w:rsidRPr="008C0DFE">
        <w:rPr>
          <w:rFonts w:asciiTheme="minorEastAsia" w:eastAsiaTheme="minorEastAsia" w:hAnsiTheme="minorEastAsia"/>
          <w:color w:val="2F2F2F"/>
        </w:rPr>
        <w:t>在实际工作中，还可能存在一些以上没有提及的不应在预算会计中核算的资金收支业务，我们应进行职业判断，准确把握预算管理资金的概念和定义，确定预算会计核算范围。</w:t>
      </w:r>
    </w:p>
    <w:p w:rsidR="00D855E5" w:rsidRPr="008C0DFE" w:rsidRDefault="00D855E5" w:rsidP="008C0DFE">
      <w:pPr>
        <w:contextualSpacing/>
        <w:rPr>
          <w:rFonts w:asciiTheme="minorEastAsia" w:hAnsiTheme="minorEastAsia"/>
          <w:sz w:val="24"/>
          <w:szCs w:val="24"/>
        </w:rPr>
      </w:pPr>
    </w:p>
    <w:sectPr w:rsidR="00D855E5" w:rsidRPr="008C0DFE" w:rsidSect="00D855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0DFE"/>
    <w:rsid w:val="003152C4"/>
    <w:rsid w:val="004D187C"/>
    <w:rsid w:val="00535BBF"/>
    <w:rsid w:val="008C0DFE"/>
    <w:rsid w:val="00B35E06"/>
    <w:rsid w:val="00D855E5"/>
    <w:rsid w:val="00F307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5E5"/>
    <w:pPr>
      <w:widowControl w:val="0"/>
      <w:jc w:val="both"/>
    </w:pPr>
  </w:style>
  <w:style w:type="paragraph" w:styleId="2">
    <w:name w:val="heading 2"/>
    <w:basedOn w:val="a"/>
    <w:link w:val="2Char"/>
    <w:uiPriority w:val="9"/>
    <w:qFormat/>
    <w:rsid w:val="008C0DF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D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0DFE"/>
    <w:rPr>
      <w:b/>
      <w:bCs/>
    </w:rPr>
  </w:style>
  <w:style w:type="character" w:styleId="a5">
    <w:name w:val="Hyperlink"/>
    <w:basedOn w:val="a0"/>
    <w:uiPriority w:val="99"/>
    <w:semiHidden/>
    <w:unhideWhenUsed/>
    <w:rsid w:val="008C0DFE"/>
    <w:rPr>
      <w:color w:val="0000FF"/>
      <w:u w:val="single"/>
    </w:rPr>
  </w:style>
  <w:style w:type="paragraph" w:styleId="a6">
    <w:name w:val="Balloon Text"/>
    <w:basedOn w:val="a"/>
    <w:link w:val="Char"/>
    <w:uiPriority w:val="99"/>
    <w:semiHidden/>
    <w:unhideWhenUsed/>
    <w:rsid w:val="008C0DFE"/>
    <w:rPr>
      <w:sz w:val="18"/>
      <w:szCs w:val="18"/>
    </w:rPr>
  </w:style>
  <w:style w:type="character" w:customStyle="1" w:styleId="Char">
    <w:name w:val="批注框文本 Char"/>
    <w:basedOn w:val="a0"/>
    <w:link w:val="a6"/>
    <w:uiPriority w:val="99"/>
    <w:semiHidden/>
    <w:rsid w:val="008C0DFE"/>
    <w:rPr>
      <w:sz w:val="18"/>
      <w:szCs w:val="18"/>
    </w:rPr>
  </w:style>
  <w:style w:type="character" w:customStyle="1" w:styleId="2Char">
    <w:name w:val="标题 2 Char"/>
    <w:basedOn w:val="a0"/>
    <w:link w:val="2"/>
    <w:uiPriority w:val="9"/>
    <w:rsid w:val="008C0DFE"/>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781992473">
      <w:bodyDiv w:val="1"/>
      <w:marLeft w:val="0"/>
      <w:marRight w:val="0"/>
      <w:marTop w:val="0"/>
      <w:marBottom w:val="0"/>
      <w:divBdr>
        <w:top w:val="none" w:sz="0" w:space="0" w:color="auto"/>
        <w:left w:val="none" w:sz="0" w:space="0" w:color="auto"/>
        <w:bottom w:val="none" w:sz="0" w:space="0" w:color="auto"/>
        <w:right w:val="none" w:sz="0" w:space="0" w:color="auto"/>
      </w:divBdr>
    </w:div>
    <w:div w:id="1922255264">
      <w:bodyDiv w:val="1"/>
      <w:marLeft w:val="0"/>
      <w:marRight w:val="0"/>
      <w:marTop w:val="0"/>
      <w:marBottom w:val="0"/>
      <w:divBdr>
        <w:top w:val="none" w:sz="0" w:space="0" w:color="auto"/>
        <w:left w:val="none" w:sz="0" w:space="0" w:color="auto"/>
        <w:bottom w:val="none" w:sz="0" w:space="0" w:color="auto"/>
        <w:right w:val="none" w:sz="0" w:space="0" w:color="auto"/>
      </w:divBdr>
      <w:divsChild>
        <w:div w:id="18335688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于洛</cp:lastModifiedBy>
  <cp:revision>2</cp:revision>
  <dcterms:created xsi:type="dcterms:W3CDTF">2019-11-04T01:45:00Z</dcterms:created>
  <dcterms:modified xsi:type="dcterms:W3CDTF">2019-11-04T01:45:00Z</dcterms:modified>
</cp:coreProperties>
</file>